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470" w:rsidRDefault="0021447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ind w:left="360" w:hanging="360"/>
        <w:jc w:val="both"/>
      </w:pPr>
      <w:bookmarkStart w:id="0" w:name="_GoBack"/>
      <w:bookmarkEnd w:id="0"/>
    </w:p>
    <w:p w:rsidR="00214470" w:rsidRDefault="00CC3159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jc w:val="both"/>
        <w:rPr>
          <w:sz w:val="20"/>
          <w:szCs w:val="20"/>
          <w:lang w:val="ru-RU"/>
        </w:rPr>
      </w:pPr>
      <w:r>
        <w:rPr>
          <w:rFonts w:ascii="Arial" w:eastAsia="Arial" w:hAnsi="Arial" w:cs="Arial"/>
          <w:color w:val="000000"/>
          <w:sz w:val="20"/>
          <w:szCs w:val="20"/>
          <w:lang w:val="ru-RU"/>
        </w:rPr>
        <w:t>Научно-технолошки центар НИС-Нафтагас Друштво са ограниченом одговорношћу Нови Сад,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 xml:space="preserve"> (у даљем тексту НТЦ НИС-Нафтагас д.о.о. Нови Сад), са седиштем у Новом Саду ул. Народног фронта бр. 12; ПИБ 107438656, Матични број: 20802421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;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(у даљем тексту: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 Наручилац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),</w:t>
      </w:r>
      <w:r>
        <w:rPr>
          <w:rFonts w:ascii="Arial" w:eastAsia="Arial" w:hAnsi="Arial" w:cs="Arial"/>
          <w:b/>
          <w:color w:val="000000"/>
          <w:sz w:val="20"/>
          <w:szCs w:val="20"/>
        </w:rPr>
        <w:t>  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кога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на основу овлашћења из Оснивачког акта тачке 8.2 НТЦ НИС-Нафтагас д.о.о. Нови Сад од 02.07.2025. године,</w:t>
      </w:r>
      <w:r>
        <w:rPr>
          <w:rFonts w:ascii="Arial" w:eastAsia="Arial" w:hAnsi="Arial" w:cs="Arial"/>
          <w:color w:val="000000"/>
          <w:sz w:val="20"/>
          <w:szCs w:val="20"/>
          <w:lang w:val="sr-Latn-RS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заступа</w:t>
      </w:r>
      <w:r>
        <w:rPr>
          <w:rFonts w:ascii="Arial" w:eastAsia="Arial" w:hAnsi="Arial" w:cs="Arial"/>
          <w:b/>
          <w:color w:val="000000"/>
          <w:sz w:val="20"/>
          <w:szCs w:val="20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 xml:space="preserve">– </w:t>
      </w:r>
      <w:permStart w:id="14302016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 xml:space="preserve"> (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унети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име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презиме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  <w:lang w:val="ru-RU"/>
        </w:rPr>
        <w:t>)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,</w:t>
      </w:r>
      <w:permEnd w:id="143020163"/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spacing w:before="60" w:after="60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и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spacing w:before="60" w:after="60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 </w:t>
      </w:r>
    </w:p>
    <w:p w:rsidR="00214470" w:rsidRDefault="00CC3159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“ </w:t>
      </w:r>
      <w:permStart w:id="16719138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ermEnd w:id="167191383"/>
      <w:r>
        <w:rPr>
          <w:rFonts w:ascii="Arial" w:eastAsia="Arial" w:hAnsi="Arial" w:cs="Arial"/>
          <w:color w:val="000000"/>
          <w:sz w:val="20"/>
          <w:szCs w:val="20"/>
          <w:lang w:val="ru-RU"/>
        </w:rPr>
        <w:t>са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седиштем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у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ermStart w:id="1515551644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ermEnd w:id="1515551644"/>
      <w:r>
        <w:rPr>
          <w:rFonts w:ascii="Arial" w:eastAsia="Arial" w:hAnsi="Arial" w:cs="Arial"/>
          <w:color w:val="000000"/>
          <w:sz w:val="20"/>
          <w:szCs w:val="20"/>
          <w:lang w:val="ru-RU"/>
        </w:rPr>
        <w:t>ПИБ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permStart w:id="151992719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permEnd w:id="1519927195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матични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број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lang w:val="sr-Cyrl-RS"/>
        </w:rPr>
        <w:t>${komitent_mb}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у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даљем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тексту</w:t>
      </w:r>
      <w:r>
        <w:rPr>
          <w:rFonts w:ascii="Arial" w:eastAsia="Arial" w:hAnsi="Arial" w:cs="Arial"/>
          <w:color w:val="000000"/>
          <w:sz w:val="20"/>
          <w:szCs w:val="20"/>
        </w:rPr>
        <w:t>„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Извршилац</w:t>
      </w:r>
      <w:r>
        <w:rPr>
          <w:rFonts w:ascii="Arial" w:eastAsia="Arial" w:hAnsi="Arial" w:cs="Arial"/>
          <w:color w:val="000000"/>
          <w:sz w:val="20"/>
          <w:szCs w:val="20"/>
        </w:rPr>
        <w:t>/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Извођач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“),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кога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ru-RU"/>
        </w:rPr>
        <w:t>заступа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ermStart w:id="150852433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Arial" w:hAnsi="Arial" w:cs="Arial"/>
          <w:color w:val="000000"/>
          <w:sz w:val="20"/>
          <w:szCs w:val="20"/>
        </w:rPr>
        <w:t>“</w:t>
      </w:r>
      <w:permEnd w:id="1508524335"/>
      <w:r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both"/>
      </w:pPr>
      <w:r>
        <w:rPr>
          <w:rFonts w:ascii="Arial" w:eastAsia="Arial" w:hAnsi="Arial" w:cs="Arial"/>
          <w:i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  <w:lang w:val="ru-RU"/>
        </w:rPr>
        <w:t>Наручилац и Извршилац појединачно означени као “</w:t>
      </w:r>
      <w:r>
        <w:rPr>
          <w:rFonts w:ascii="Arial" w:eastAsia="Arial" w:hAnsi="Arial" w:cs="Arial"/>
          <w:b/>
          <w:i/>
          <w:color w:val="000000"/>
          <w:sz w:val="20"/>
          <w:lang w:val="ru-RU"/>
        </w:rPr>
        <w:t>Споразумна страна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” и заједнички као</w:t>
      </w:r>
      <w:r>
        <w:rPr>
          <w:rFonts w:ascii="Arial" w:eastAsia="Arial" w:hAnsi="Arial" w:cs="Arial"/>
          <w:i/>
          <w:color w:val="000000"/>
          <w:sz w:val="20"/>
        </w:rPr>
        <w:t> 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“</w:t>
      </w:r>
      <w:r>
        <w:rPr>
          <w:rFonts w:ascii="Arial" w:eastAsia="Arial" w:hAnsi="Arial" w:cs="Arial"/>
          <w:b/>
          <w:i/>
          <w:color w:val="000000"/>
          <w:sz w:val="20"/>
          <w:lang w:val="ru-RU"/>
        </w:rPr>
        <w:t>Споразумне стране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”.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Споразумне стране, дана</w:t>
      </w:r>
      <w:r>
        <w:rPr>
          <w:rFonts w:ascii="Arial" w:eastAsia="Arial" w:hAnsi="Arial" w:cs="Arial"/>
          <w:color w:val="000000"/>
          <w:sz w:val="20"/>
          <w:lang w:val="sr-Latn-RS"/>
        </w:rPr>
        <w:t xml:space="preserve"> </w:t>
      </w:r>
      <w:permStart w:id="1461199208" w:edGrp="everyone"/>
      <w:r>
        <w:rPr>
          <w:rFonts w:ascii="Arial" w:eastAsia="Arial" w:hAnsi="Arial" w:cs="Arial"/>
          <w:color w:val="000000"/>
          <w:sz w:val="20"/>
          <w:lang w:val="ru-RU"/>
        </w:rPr>
        <w:t>________ 20__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. </w:t>
      </w:r>
      <w:permEnd w:id="1461199208"/>
      <w:r>
        <w:rPr>
          <w:rFonts w:ascii="Arial" w:eastAsia="Arial" w:hAnsi="Arial" w:cs="Arial"/>
          <w:color w:val="000000"/>
          <w:sz w:val="20"/>
          <w:lang w:val="ru-RU"/>
        </w:rPr>
        <w:t>године, закључују: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  <w:lang w:val="ru-RU"/>
        </w:rPr>
        <w:t>СПОРАЗУМ О БЕЗБЕДНОСТИ И ЗДРАВЉУ НА РАДУ,</w:t>
      </w:r>
      <w:r>
        <w:rPr>
          <w:rFonts w:ascii="Arial" w:eastAsia="Arial" w:hAnsi="Arial" w:cs="Arial"/>
          <w:b/>
          <w:color w:val="000000"/>
          <w:sz w:val="20"/>
        </w:rPr>
        <w:t> </w:t>
      </w:r>
      <w:r>
        <w:rPr>
          <w:rFonts w:ascii="Arial" w:eastAsia="Arial" w:hAnsi="Arial" w:cs="Arial"/>
          <w:b/>
          <w:color w:val="000000"/>
          <w:sz w:val="20"/>
          <w:lang w:val="ru-RU"/>
        </w:rPr>
        <w:t xml:space="preserve"> ЗАШТИТИ ЖИВОТНЕ СРЕДИНЕ И 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  <w:lang w:val="ru-RU"/>
        </w:rPr>
        <w:t>ЗАШТИТИ ОД ПОЖАРА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b/>
          <w:i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ind w:right="1440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  <w:u w:val="single"/>
          <w:lang w:val="ru-RU"/>
        </w:rPr>
        <w:t>Споразумне стране сагласно констатују следеће: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ind w:right="1440"/>
        <w:rPr>
          <w:lang w:val="ru-RU"/>
        </w:rPr>
      </w:pPr>
      <w:r>
        <w:rPr>
          <w:rFonts w:ascii="Arial" w:eastAsia="Arial" w:hAnsi="Arial" w:cs="Arial"/>
          <w:b/>
          <w:color w:val="000000"/>
          <w:sz w:val="12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</w:rPr>
        <w:t>HSE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захтеви Наручиоца су да се приликом извођења свих пословних операција у сваком тренутку 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осигура безбедност и здравље људи, сигурност имовине, као и да заштити животну средину,искључи повреде на раду, угрожавање здравља,</w:t>
      </w:r>
      <w:r>
        <w:rPr>
          <w:rFonts w:ascii="Arial" w:eastAsia="Arial" w:hAnsi="Arial" w:cs="Arial"/>
          <w:i/>
          <w:color w:val="000000"/>
          <w:sz w:val="20"/>
        </w:rPr>
        <w:t> 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технолошких инцидента</w:t>
      </w:r>
      <w:r>
        <w:rPr>
          <w:rFonts w:ascii="Arial" w:eastAsia="Arial" w:hAnsi="Arial" w:cs="Arial"/>
          <w:i/>
          <w:color w:val="000000"/>
          <w:sz w:val="20"/>
        </w:rPr>
        <w:t> 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и пожара у производњи, као и елиминисање неповољних утицаја на радну и животну средину.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  <w:lang w:val="ru-RU"/>
        </w:rPr>
        <w:t>Извршилац је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сагласан да приликом обављања послова за Наручиоца поступа у складу са законодавства, принципима и начелима стандарда </w:t>
      </w:r>
      <w:r>
        <w:rPr>
          <w:rFonts w:ascii="Arial" w:eastAsia="Arial" w:hAnsi="Arial" w:cs="Arial"/>
          <w:i/>
          <w:color w:val="000000"/>
          <w:sz w:val="20"/>
        </w:rPr>
        <w:t>SRPS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</w:rPr>
        <w:t>ISO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45001 и </w:t>
      </w:r>
      <w:r>
        <w:rPr>
          <w:rFonts w:ascii="Arial" w:eastAsia="Arial" w:hAnsi="Arial" w:cs="Arial"/>
          <w:i/>
          <w:color w:val="000000"/>
          <w:sz w:val="20"/>
        </w:rPr>
        <w:t>SRPS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</w:rPr>
        <w:t>ISO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14001, као и интерним правилима и </w:t>
      </w:r>
      <w:r>
        <w:rPr>
          <w:rFonts w:ascii="Arial" w:eastAsia="Arial" w:hAnsi="Arial" w:cs="Arial"/>
          <w:i/>
          <w:color w:val="000000"/>
          <w:sz w:val="20"/>
        </w:rPr>
        <w:t>HSE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политиком Наручиоца, која ће допринети безбедној и квалитетној реализациј</w:t>
      </w:r>
      <w:r>
        <w:rPr>
          <w:rFonts w:ascii="Arial" w:eastAsia="Arial" w:hAnsi="Arial" w:cs="Arial"/>
          <w:i/>
          <w:color w:val="000000"/>
          <w:sz w:val="20"/>
          <w:lang w:val="ru-RU"/>
        </w:rPr>
        <w:t>и уговорених активности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Одредбе овог </w:t>
      </w:r>
      <w:r>
        <w:rPr>
          <w:rFonts w:ascii="Arial" w:eastAsia="Arial" w:hAnsi="Arial" w:cs="Arial"/>
          <w:i/>
          <w:color w:val="000000"/>
          <w:sz w:val="20"/>
        </w:rPr>
        <w:t>HSE</w:t>
      </w:r>
      <w:r>
        <w:rPr>
          <w:rFonts w:ascii="Arial" w:eastAsia="Arial" w:hAnsi="Arial" w:cs="Arial"/>
          <w:i/>
          <w:color w:val="000000"/>
          <w:sz w:val="20"/>
          <w:lang w:val="ru-RU"/>
        </w:rPr>
        <w:t xml:space="preserve">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60"/>
        <w:rPr>
          <w:lang w:val="ru-RU"/>
        </w:rPr>
      </w:pPr>
      <w:r>
        <w:rPr>
          <w:rFonts w:ascii="Arial" w:eastAsia="Arial" w:hAnsi="Arial" w:cs="Arial"/>
          <w:color w:val="000000"/>
          <w:sz w:val="10"/>
        </w:rPr>
        <w:t> </w:t>
      </w:r>
    </w:p>
    <w:p w:rsidR="00214470" w:rsidRDefault="00CC3159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0"/>
        </w:tabs>
        <w:spacing w:before="60" w:after="60"/>
      </w:pPr>
      <w:r>
        <w:rPr>
          <w:rFonts w:ascii="Arial" w:eastAsia="Arial" w:hAnsi="Arial" w:cs="Arial"/>
          <w:b/>
          <w:color w:val="000000"/>
          <w:sz w:val="20"/>
        </w:rPr>
        <w:t>ПРЕДМЕТ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line="257" w:lineRule="auto"/>
        <w:ind w:left="36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Предмет овог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Споразума о безбедности и здрављу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на раду, заштити животне средине и заштити од пожара (у даљем тексту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едности и здравља на раду (у даљем тексту: БЗР), индустријске безбедности (у даљем тексту ИБ), заштите животне средине (у даљем тексту: ЗЖС) и заштите од пожара (у даљем тексту: ЗОП), (у даљем тексту БЗР, ЗЖС и ЗОП заједно означени као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). 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Arial" w:eastAsia="Arial" w:hAnsi="Arial" w:cs="Arial"/>
          <w:color w:val="00B050"/>
          <w:sz w:val="20"/>
          <w:lang w:val="ru-RU"/>
        </w:rPr>
        <w:lastRenderedPageBreak/>
        <w:t xml:space="preserve"> </w:t>
      </w:r>
      <w:r>
        <w:rPr>
          <w:rFonts w:ascii="Arial" w:eastAsia="Arial" w:hAnsi="Arial" w:cs="Arial"/>
          <w:b/>
          <w:color w:val="000000"/>
          <w:sz w:val="20"/>
        </w:rPr>
        <w:t>ЗАВРШНЕ ОДРЕДБЕ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/>
        <w:ind w:left="360"/>
        <w:jc w:val="both"/>
      </w:pPr>
      <w:r>
        <w:rPr>
          <w:rFonts w:ascii="Arial" w:eastAsia="Arial" w:hAnsi="Arial" w:cs="Arial"/>
          <w:color w:val="000000"/>
          <w:sz w:val="20"/>
        </w:rPr>
        <w:t> 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Овај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се сматра закљученим и ступа на снагу на дан када су га потписали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овлашћени заступници обе Споразумне стране, а ако га овлашћени заступници нису потписали на исти дан,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се сматра закљученим на дан другог пот</w:t>
      </w:r>
      <w:r>
        <w:rPr>
          <w:rFonts w:ascii="Arial" w:eastAsia="Arial" w:hAnsi="Arial" w:cs="Arial"/>
          <w:color w:val="000000"/>
          <w:sz w:val="20"/>
          <w:lang w:val="ru-RU"/>
        </w:rPr>
        <w:t>писа по временском редоследу.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У случају да се НЅЕ Споразум закључује по први пут уз предметни Уговор, ова клаузула се неће применити: 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Овај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поразум се закључује на неодређено време, 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Овај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је сачињен у </w:t>
      </w:r>
      <w:permStart w:id="520421432" w:edGrp="everyone"/>
      <w:r>
        <w:rPr>
          <w:rFonts w:ascii="Arial" w:eastAsia="Arial" w:hAnsi="Arial" w:cs="Arial"/>
          <w:color w:val="000000"/>
          <w:sz w:val="20"/>
          <w:lang w:val="ru-RU"/>
        </w:rPr>
        <w:t>___</w:t>
      </w:r>
      <w:permEnd w:id="520421432"/>
      <w:r>
        <w:rPr>
          <w:rFonts w:ascii="Arial" w:eastAsia="Arial" w:hAnsi="Arial" w:cs="Arial"/>
          <w:color w:val="000000"/>
          <w:sz w:val="20"/>
          <w:lang w:val="ru-RU"/>
        </w:rPr>
        <w:t xml:space="preserve"> истоветна примерка, од којих по </w:t>
      </w:r>
      <w:permStart w:id="245778106" w:edGrp="everyone"/>
      <w:r>
        <w:rPr>
          <w:rFonts w:ascii="Arial" w:eastAsia="Arial" w:hAnsi="Arial" w:cs="Arial"/>
          <w:color w:val="000000"/>
          <w:sz w:val="20"/>
          <w:lang w:val="ru-RU"/>
        </w:rPr>
        <w:t>___</w:t>
      </w:r>
      <w:permEnd w:id="245778106"/>
      <w:r>
        <w:rPr>
          <w:rFonts w:ascii="Arial" w:eastAsia="Arial" w:hAnsi="Arial" w:cs="Arial"/>
          <w:color w:val="000000"/>
          <w:sz w:val="20"/>
          <w:lang w:val="sr-Latn-RS"/>
        </w:rPr>
        <w:t xml:space="preserve"> </w:t>
      </w:r>
      <w:r>
        <w:rPr>
          <w:rFonts w:ascii="Arial" w:eastAsia="Arial" w:hAnsi="Arial" w:cs="Arial"/>
          <w:color w:val="000000"/>
          <w:sz w:val="20"/>
          <w:lang w:val="ru-RU"/>
        </w:rPr>
        <w:t>за сваку Споразумну страну.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Споразумне стране сагласно изјављују да су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прочитале, разумеле и да његове одредбе у свему представља</w:t>
      </w:r>
      <w:r>
        <w:rPr>
          <w:rFonts w:ascii="Arial" w:eastAsia="Arial" w:hAnsi="Arial" w:cs="Arial"/>
          <w:color w:val="000000"/>
          <w:sz w:val="20"/>
          <w:lang w:val="ru-RU"/>
        </w:rPr>
        <w:t>ју израз њихове стварне воље.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Овај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Споразума, Споразумне стране ће потписати Анекс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Спора</w:t>
      </w:r>
      <w:r>
        <w:rPr>
          <w:rFonts w:ascii="Arial" w:eastAsia="Arial" w:hAnsi="Arial" w:cs="Arial"/>
          <w:color w:val="000000"/>
          <w:sz w:val="20"/>
          <w:lang w:val="ru-RU"/>
        </w:rPr>
        <w:t>зума.</w:t>
      </w:r>
    </w:p>
    <w:p w:rsidR="00214470" w:rsidRDefault="00CC3159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  <w:lang w:val="ru-RU"/>
        </w:rPr>
        <w:t xml:space="preserve">Саставни део овог Споразума јесу и Прилог 1: Санкције услед кршења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захтева, Прилог 2: Информација о резултатима рада у области </w:t>
      </w:r>
      <w:r>
        <w:rPr>
          <w:rFonts w:ascii="Arial" w:eastAsia="Arial" w:hAnsi="Arial" w:cs="Arial"/>
          <w:color w:val="000000"/>
          <w:sz w:val="20"/>
        </w:rPr>
        <w:t>HSE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и Прилог 3: Захтеви према извођачу</w:t>
      </w:r>
      <w:r>
        <w:rPr>
          <w:rFonts w:ascii="Arial" w:eastAsia="Arial" w:hAnsi="Arial" w:cs="Arial"/>
          <w:color w:val="000000"/>
          <w:sz w:val="20"/>
        </w:rPr>
        <w:t> </w:t>
      </w:r>
      <w:r>
        <w:rPr>
          <w:rFonts w:ascii="Arial" w:eastAsia="Arial" w:hAnsi="Arial" w:cs="Arial"/>
          <w:color w:val="000000"/>
          <w:sz w:val="20"/>
          <w:lang w:val="ru-RU"/>
        </w:rPr>
        <w:t xml:space="preserve"> са аспекта НЅЕ.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8"/>
        </w:tabs>
        <w:spacing w:before="120" w:after="120"/>
        <w:jc w:val="both"/>
        <w:rPr>
          <w:lang w:val="ru-RU"/>
        </w:rPr>
      </w:pPr>
      <w:r>
        <w:rPr>
          <w:rFonts w:ascii="Arial" w:eastAsia="Arial" w:hAnsi="Arial" w:cs="Arial"/>
          <w:color w:val="000000"/>
          <w:sz w:val="20"/>
        </w:rPr>
        <w:t> 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3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20"/>
        </w:tabs>
        <w:spacing w:before="60" w:after="60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              </w:t>
      </w:r>
      <w:r>
        <w:rPr>
          <w:rFonts w:ascii="Arial" w:eastAsia="Arial" w:hAnsi="Arial" w:cs="Arial"/>
          <w:b/>
          <w:color w:val="000000"/>
          <w:sz w:val="20"/>
          <w:lang w:val="ru-RU"/>
        </w:rPr>
        <w:t xml:space="preserve"> За Извршиоца </w:t>
      </w:r>
      <w:r>
        <w:rPr>
          <w:rFonts w:ascii="Arial" w:eastAsia="Arial" w:hAnsi="Arial" w:cs="Arial"/>
          <w:b/>
          <w:color w:val="000000"/>
          <w:sz w:val="20"/>
          <w:lang w:val="ru-RU"/>
        </w:rPr>
        <w:tab/>
        <w:t>За Наручиоца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360"/>
        <w:jc w:val="center"/>
        <w:rPr>
          <w:lang w:val="ru-RU"/>
        </w:rPr>
      </w:pPr>
      <w:r>
        <w:rPr>
          <w:rFonts w:ascii="Arial" w:eastAsia="Arial" w:hAnsi="Arial" w:cs="Arial"/>
          <w:b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lang w:val="ru-RU"/>
        </w:rPr>
      </w:pPr>
      <w:r>
        <w:rPr>
          <w:rFonts w:ascii="Arial" w:eastAsia="Arial" w:hAnsi="Arial" w:cs="Arial"/>
          <w:color w:val="000000"/>
          <w:sz w:val="20"/>
        </w:rPr>
        <w:t> 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  <w:lang w:val="ru-RU"/>
        </w:rPr>
      </w:pPr>
      <w:permStart w:id="1603877253" w:edGrp="everyone"/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    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                                 </w:t>
      </w:r>
      <w:r>
        <w:rPr>
          <w:rFonts w:ascii="Arial" w:eastAsia="Arial" w:hAnsi="Arial" w:cs="Arial"/>
          <w:color w:val="000000"/>
          <w:sz w:val="16"/>
          <w:szCs w:val="16"/>
        </w:rPr>
        <w:t>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25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  <w:lang w:val="ru-RU"/>
        </w:rPr>
        <w:t>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ab/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  <w:lang w:val="sr-Latn-RS"/>
        </w:rPr>
        <w:t xml:space="preserve">                        </w:t>
      </w:r>
      <w:proofErr w:type="gramStart"/>
      <w:r>
        <w:rPr>
          <w:rFonts w:ascii="Arial" w:eastAsia="Arial" w:hAnsi="Arial" w:cs="Arial"/>
          <w:color w:val="000000"/>
          <w:sz w:val="16"/>
          <w:szCs w:val="16"/>
          <w:lang w:val="sr-Latn-RS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(</w:t>
      </w:r>
      <w:proofErr w:type="gramEnd"/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</w:rPr>
        <w:t> </w:t>
      </w:r>
    </w:p>
    <w:p w:rsidR="00214470" w:rsidRPr="00CC3159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</w:rPr>
      </w:pPr>
      <w:r w:rsidRPr="00CC3159">
        <w:rPr>
          <w:rFonts w:ascii="Arial" w:eastAsia="Arial" w:hAnsi="Arial" w:cs="Arial"/>
          <w:color w:val="000000"/>
          <w:sz w:val="16"/>
          <w:szCs w:val="16"/>
        </w:rPr>
        <w:t>_____________________________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                                           </w:t>
      </w:r>
      <w:r w:rsidRPr="00CC3159">
        <w:rPr>
          <w:rFonts w:ascii="Arial" w:eastAsia="Arial" w:hAnsi="Arial" w:cs="Arial"/>
          <w:color w:val="000000"/>
          <w:sz w:val="16"/>
          <w:szCs w:val="16"/>
        </w:rPr>
        <w:t>_____________________________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25"/>
        </w:tabs>
        <w:ind w:left="360"/>
        <w:rPr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  <w:lang w:val="sr-Latn-RS"/>
        </w:rPr>
        <w:t xml:space="preserve">     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</w:rPr>
        <w:t>)</w:t>
      </w:r>
      <w:r>
        <w:rPr>
          <w:rFonts w:ascii="Arial" w:eastAsia="Arial" w:hAnsi="Arial" w:cs="Arial"/>
          <w:color w:val="000000"/>
          <w:sz w:val="16"/>
          <w:szCs w:val="16"/>
        </w:rPr>
        <w:tab/>
        <w:t>                                                       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(</w:t>
      </w:r>
      <w:r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</w:t>
      </w:r>
      <w:r>
        <w:rPr>
          <w:rFonts w:ascii="Arial" w:eastAsia="Arial" w:hAnsi="Arial" w:cs="Arial"/>
          <w:color w:val="000000"/>
          <w:sz w:val="16"/>
          <w:szCs w:val="16"/>
        </w:rPr>
        <w:t>)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780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                                                      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_____________________________</w:t>
      </w:r>
    </w:p>
    <w:p w:rsidR="00214470" w:rsidRDefault="00CC31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25"/>
        </w:tabs>
        <w:ind w:left="360"/>
        <w:rPr>
          <w:sz w:val="16"/>
          <w:szCs w:val="16"/>
          <w:lang w:val="ru-RU"/>
        </w:rPr>
      </w:pPr>
      <w:r>
        <w:rPr>
          <w:rFonts w:ascii="Arial" w:eastAsia="Arial" w:hAnsi="Arial" w:cs="Arial"/>
          <w:color w:val="000000"/>
          <w:sz w:val="16"/>
          <w:szCs w:val="16"/>
        </w:rPr>
        <w:t>                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(</w:t>
      </w:r>
      <w:proofErr w:type="spellStart"/>
      <w:r>
        <w:rPr>
          <w:rFonts w:ascii="Arial" w:eastAsia="Arial" w:hAnsi="Arial" w:cs="Arial"/>
          <w:color w:val="000000"/>
          <w:sz w:val="16"/>
          <w:szCs w:val="16"/>
          <w:lang w:val="ru-RU"/>
        </w:rPr>
        <w:t>датум</w:t>
      </w:r>
      <w:proofErr w:type="spellEnd"/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ab/>
      </w:r>
      <w:r>
        <w:rPr>
          <w:rFonts w:ascii="Arial" w:eastAsia="Arial" w:hAnsi="Arial" w:cs="Arial"/>
          <w:color w:val="000000"/>
          <w:sz w:val="16"/>
          <w:szCs w:val="16"/>
        </w:rPr>
        <w:t xml:space="preserve">                                                                                                            </w:t>
      </w:r>
      <w:proofErr w:type="gramStart"/>
      <w:r>
        <w:rPr>
          <w:rFonts w:ascii="Arial" w:eastAsia="Arial" w:hAnsi="Arial" w:cs="Arial"/>
          <w:color w:val="000000"/>
          <w:sz w:val="16"/>
          <w:szCs w:val="16"/>
        </w:rPr>
        <w:t>   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>(</w:t>
      </w:r>
      <w:proofErr w:type="spellStart"/>
      <w:proofErr w:type="gramEnd"/>
      <w:r>
        <w:rPr>
          <w:rFonts w:ascii="Arial" w:eastAsia="Arial" w:hAnsi="Arial" w:cs="Arial"/>
          <w:color w:val="000000"/>
          <w:sz w:val="16"/>
          <w:szCs w:val="16"/>
          <w:lang w:val="ru-RU"/>
        </w:rPr>
        <w:t>датум</w:t>
      </w:r>
      <w:proofErr w:type="spellEnd"/>
      <w:r>
        <w:rPr>
          <w:rFonts w:ascii="Arial" w:eastAsia="Arial" w:hAnsi="Arial" w:cs="Arial"/>
          <w:color w:val="000000"/>
          <w:sz w:val="16"/>
          <w:szCs w:val="16"/>
          <w:lang w:val="ru-RU"/>
        </w:rPr>
        <w:t>)</w:t>
      </w:r>
      <w:r>
        <w:rPr>
          <w:rFonts w:ascii="Arial" w:eastAsia="Arial" w:hAnsi="Arial" w:cs="Arial"/>
          <w:color w:val="000000"/>
          <w:sz w:val="16"/>
          <w:szCs w:val="16"/>
          <w:lang w:val="ru-RU"/>
        </w:rPr>
        <w:tab/>
      </w:r>
      <w:permEnd w:id="1603877253"/>
    </w:p>
    <w:p w:rsidR="00214470" w:rsidRDefault="00214470">
      <w:pPr>
        <w:rPr>
          <w:lang w:val="ru-RU"/>
        </w:rPr>
      </w:pPr>
    </w:p>
    <w:sectPr w:rsidR="00214470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470" w:rsidRDefault="00CC3159">
      <w:pPr>
        <w:spacing w:after="0" w:line="240" w:lineRule="auto"/>
      </w:pPr>
      <w:r>
        <w:separator/>
      </w:r>
    </w:p>
  </w:endnote>
  <w:endnote w:type="continuationSeparator" w:id="0">
    <w:p w:rsidR="00214470" w:rsidRDefault="00CC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470" w:rsidRDefault="00CC3159">
    <w:pPr>
      <w:pStyle w:val="Footer"/>
      <w:jc w:val="right"/>
    </w:pPr>
    <w:r>
      <w:t>ТФУ.НТЦ.61</w:t>
    </w:r>
    <w:r>
      <w:tab/>
    </w:r>
    <w:r>
      <w:tab/>
    </w:r>
    <w:sdt>
      <w:sdtPr>
        <w:id w:val="112543247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:rsidR="00214470" w:rsidRDefault="00214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470" w:rsidRDefault="00CC3159">
    <w:pPr>
      <w:pStyle w:val="Footer"/>
    </w:pPr>
    <w:r>
      <w:t>ТФУ.НТЦ.61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470" w:rsidRDefault="00CC3159">
      <w:pPr>
        <w:spacing w:after="0" w:line="240" w:lineRule="auto"/>
      </w:pPr>
      <w:r>
        <w:separator/>
      </w:r>
    </w:p>
  </w:footnote>
  <w:footnote w:type="continuationSeparator" w:id="0">
    <w:p w:rsidR="00214470" w:rsidRDefault="00CC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50"/>
      <w:gridCol w:w="2156"/>
    </w:tblGrid>
    <w:tr w:rsidR="00214470">
      <w:trPr>
        <w:trHeight w:val="997"/>
      </w:trPr>
      <w:tc>
        <w:tcPr>
          <w:tcW w:w="7680" w:type="dxa"/>
          <w:shd w:val="clear" w:color="auto" w:fill="auto"/>
        </w:tcPr>
        <w:p w:rsidR="00214470" w:rsidRDefault="00CC3159">
          <w:pPr>
            <w:tabs>
              <w:tab w:val="left" w:pos="623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sz w:val="16"/>
              <w:szCs w:val="16"/>
            </w:rPr>
            <w:tab/>
          </w:r>
        </w:p>
      </w:tc>
      <w:tc>
        <w:tcPr>
          <w:tcW w:w="2243" w:type="dxa"/>
          <w:shd w:val="clear" w:color="auto" w:fill="auto"/>
          <w:vAlign w:val="center"/>
        </w:tcPr>
        <w:p w:rsidR="00214470" w:rsidRDefault="00CC3159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</w:rPr>
          </w:pPr>
          <w:r>
            <w:rPr>
              <w:rFonts w:ascii="Arial" w:eastAsia="Calibri" w:hAnsi="Arial" w:cs="Arial"/>
              <w:i/>
              <w:sz w:val="20"/>
              <w:szCs w:val="16"/>
            </w:rPr>
            <w:t>Типска форма</w:t>
          </w:r>
        </w:p>
      </w:tc>
    </w:tr>
  </w:tbl>
  <w:p w:rsidR="00214470" w:rsidRDefault="00214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308"/>
      <w:gridCol w:w="2098"/>
    </w:tblGrid>
    <w:tr w:rsidR="00214470">
      <w:trPr>
        <w:trHeight w:val="997"/>
      </w:trPr>
      <w:tc>
        <w:tcPr>
          <w:tcW w:w="7680" w:type="dxa"/>
          <w:shd w:val="clear" w:color="FFFFFF" w:fill="FFFFFF"/>
        </w:tcPr>
        <w:p w:rsidR="00214470" w:rsidRDefault="00CC3159"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5200" distR="1152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61475" cy="715407"/>
                    <wp:effectExtent l="0" t="0" r="0" b="0"/>
                    <wp:wrapTight wrapText="bothSides">
                      <wp:wrapPolygon edited="1">
                        <wp:start x="2374" y="6550"/>
                        <wp:lineTo x="19145" y="6788"/>
                        <wp:lineTo x="18447" y="20821"/>
                        <wp:lineTo x="2030" y="20821"/>
                      </wp:wrapPolygon>
                    </wp:wrapTight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00503796" name="Picture 1" descr="logo/NTG-02.jp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61474" cy="7154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00pt;mso-position-vertical:absolute;width:115.08pt;height:56.33pt;mso-wrap-distance-left:9.07pt;mso-wrap-distance-top:0.00pt;mso-wrap-distance-right:9.07pt;mso-wrap-distance-bottom:0.00pt;z-index:1;" wrapcoords="10991 30324 88634 31426 85403 96394 9398 96394" stroked="f">
                    <w10:wrap type="tight"/>
                    <v:imagedata r:id="rId2" o:title=""/>
                    <o:lock v:ext="edit" rotation="t"/>
                  </v:shape>
                </w:pict>
              </mc:Fallback>
            </mc:AlternateContent>
          </w:r>
        </w:p>
        <w:p w:rsidR="00214470" w:rsidRDefault="00214470">
          <w:pPr>
            <w:tabs>
              <w:tab w:val="left" w:pos="623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2243" w:type="dxa"/>
          <w:shd w:val="clear" w:color="FFFFFF" w:fill="FFFFFF"/>
          <w:vAlign w:val="center"/>
        </w:tcPr>
        <w:p w:rsidR="00214470" w:rsidRDefault="00214470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</w:rPr>
          </w:pPr>
        </w:p>
      </w:tc>
    </w:tr>
  </w:tbl>
  <w:p w:rsidR="00214470" w:rsidRDefault="00214470">
    <w:pPr>
      <w:pStyle w:val="Header"/>
    </w:pPr>
  </w:p>
  <w:p w:rsidR="00214470" w:rsidRDefault="00CC3159">
    <w:pPr>
      <w:pStyle w:val="Header"/>
      <w:jc w:val="right"/>
    </w:pPr>
    <w:r>
      <w:rPr>
        <w:rFonts w:ascii="Arial" w:eastAsia="Calibri" w:hAnsi="Arial" w:cs="Arial"/>
        <w:i/>
        <w:sz w:val="20"/>
        <w:szCs w:val="16"/>
      </w:rPr>
      <w:t>Типска форма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7CF85"/>
    <w:multiLevelType w:val="multilevel"/>
    <w:tmpl w:val="588A0A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1"/>
      <w:lvlJc w:val="left"/>
      <w:pPr>
        <w:ind w:left="43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1F1DB5"/>
    <w:multiLevelType w:val="multilevel"/>
    <w:tmpl w:val="B58C47A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967353"/>
    <w:multiLevelType w:val="multilevel"/>
    <w:tmpl w:val="EF7AC10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7FEA6C0F"/>
    <w:multiLevelType w:val="multilevel"/>
    <w:tmpl w:val="196ECF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eastAsia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F07Kve3iYF05amCio0gLU7dTUZwYyRCY+gCJzZc3tf4SWMAlPkIG9sfqnI+le2G3W5869xM4UGQeN82las+OEQ==" w:salt="VI+dsm+53Cc1b8mfxLGW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70"/>
    <w:rsid w:val="00214470"/>
    <w:rsid w:val="00CC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C62097-3067-450B-A682-FE248145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Paunovic</dc:creator>
  <cp:keywords>Klasifikacija: Без ограничења/Unrestricted</cp:keywords>
  <dc:description/>
  <cp:lastModifiedBy>Gorana Kljajic</cp:lastModifiedBy>
  <cp:revision>2</cp:revision>
  <dcterms:created xsi:type="dcterms:W3CDTF">2026-07-01T10:37:00Z</dcterms:created>
  <dcterms:modified xsi:type="dcterms:W3CDTF">2026-07-01T10:37:00Z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3b997dcc-1af0-4461-b452-44515f9b5015</vt:lpwstr>
  </property>
  <property fmtid="{D5CDD505-2E9C-101B-9397-08002B2CF9AE}" pid="3" name="Klasifikacija">
    <vt:lpwstr>Bez-ogranicenja-Unrestricted</vt:lpwstr>
  </property>
</Properties>
</file>